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78295A" w:rsidP="00185440">
      <w:pPr>
        <w:rPr>
          <w:rFonts w:ascii="UD デジタル 教科書体 NK-R" w:eastAsia="UD デジタル 教科書体 NK-R"/>
          <w:szCs w:val="21"/>
          <w:u w:val="single"/>
        </w:rPr>
      </w:pPr>
      <w:r w:rsidRPr="0078295A">
        <w:rPr>
          <w:rFonts w:ascii="UD デジタル 教科書体 NK-R" w:eastAsia="UD デジタル 教科書体 NK-R" w:hint="eastAsia"/>
          <w:szCs w:val="21"/>
          <w:u w:val="single"/>
        </w:rPr>
        <w:t>九州地方</w:t>
      </w:r>
    </w:p>
    <w:p w:rsidR="0078295A" w:rsidRPr="00193773" w:rsidRDefault="0078295A"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D94317"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78295A" w:rsidRPr="0078295A">
        <w:rPr>
          <w:rFonts w:ascii="UD デジタル 教科書体 NK-R" w:eastAsia="UD デジタル 教科書体 NK-R" w:hint="eastAsia"/>
          <w:szCs w:val="21"/>
        </w:rPr>
        <w:t>九州地方の自然環境を生かした地域の人々の生活がよく表れていると思う事例を１つあげて説明しましょう。</w:t>
      </w:r>
    </w:p>
    <w:p w:rsidR="0078295A" w:rsidRPr="00193773" w:rsidRDefault="0078295A" w:rsidP="00193773">
      <w:pPr>
        <w:rPr>
          <w:rFonts w:ascii="UD デジタル 教科書体 NK-R" w:eastAsia="UD デジタル 教科書体 NK-R" w:hint="eastAsia"/>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78295A" w:rsidP="00D94317">
            <w:pPr>
              <w:rPr>
                <w:rFonts w:ascii="UD デジタル 教科書体 NK-R" w:eastAsia="UD デジタル 教科書体 NK-R" w:hAnsi="BIZ UDゴシック"/>
                <w:color w:val="767171" w:themeColor="background2" w:themeShade="80"/>
                <w:szCs w:val="21"/>
              </w:rPr>
            </w:pPr>
            <w:r w:rsidRPr="0078295A">
              <w:rPr>
                <w:rFonts w:ascii="UD デジタル 教科書体 NK-R" w:eastAsia="UD デジタル 教科書体 NK-R" w:hAnsi="BIZ UDPゴシック" w:hint="eastAsia"/>
                <w:szCs w:val="21"/>
              </w:rPr>
              <w:t>九州地方の自然環境についての特色を把握した上で、その特色を生かした地域の人々の生活についての事例を具体的に記述している。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78295A" w:rsidP="00D94317">
            <w:pPr>
              <w:rPr>
                <w:rFonts w:ascii="UD デジタル 教科書体 NK-R" w:eastAsia="UD デジタル 教科書体 NK-R" w:hAnsi="BIZ UDゴシック"/>
                <w:color w:val="767171" w:themeColor="background2" w:themeShade="80"/>
                <w:szCs w:val="21"/>
              </w:rPr>
            </w:pPr>
            <w:r w:rsidRPr="0078295A">
              <w:rPr>
                <w:rFonts w:ascii="UD デジタル 教科書体 NK-R" w:eastAsia="UD デジタル 教科書体 NK-R" w:hAnsi="BIZ UDPゴシック" w:hint="eastAsia"/>
                <w:szCs w:val="21"/>
              </w:rPr>
              <w:t>九州地方の自然環境を生かした地域の人々の生活がよく表れていると思う事例を具体的に記述している。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78295A" w:rsidP="00D94317">
            <w:pPr>
              <w:rPr>
                <w:rFonts w:ascii="UD デジタル 教科書体 NK-R" w:eastAsia="UD デジタル 教科書体 NK-R" w:hAnsi="BIZ UDゴシック"/>
                <w:color w:val="767171" w:themeColor="background2" w:themeShade="80"/>
                <w:szCs w:val="21"/>
              </w:rPr>
            </w:pPr>
            <w:r w:rsidRPr="0078295A">
              <w:rPr>
                <w:rFonts w:ascii="UD デジタル 教科書体 NK-R" w:eastAsia="UD デジタル 教科書体 NK-R" w:hAnsi="BIZ UDPゴシック" w:hint="eastAsia"/>
                <w:szCs w:val="21"/>
              </w:rPr>
              <w:t>地域の人々の生活の特色が表れていなかったり、具体的ではなかったりする記述である。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78295A" w:rsidRPr="0078295A" w:rsidRDefault="00193773" w:rsidP="0078295A">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78295A" w:rsidRPr="0078295A">
        <w:rPr>
          <w:rFonts w:ascii="UD デジタル 教科書体 NK-R" w:eastAsia="UD デジタル 教科書体 NK-R" w:hAnsi="BIZ UDPゴシック" w:hint="eastAsia"/>
          <w:szCs w:val="21"/>
        </w:rPr>
        <w:t>事例：大分県の温泉を生かした観光産業</w:t>
      </w:r>
    </w:p>
    <w:p w:rsidR="00193773" w:rsidRPr="00193773" w:rsidRDefault="0078295A" w:rsidP="0078295A">
      <w:pPr>
        <w:ind w:leftChars="300" w:left="630"/>
        <w:rPr>
          <w:rFonts w:ascii="UD デジタル 教科書体 NK-R" w:eastAsia="UD デジタル 教科書体 NK-R" w:hAnsi="BIZ UDPゴシック"/>
          <w:szCs w:val="21"/>
        </w:rPr>
      </w:pPr>
      <w:r w:rsidRPr="0078295A">
        <w:rPr>
          <w:rFonts w:ascii="UD デジタル 教科書体 NK-R" w:eastAsia="UD デジタル 教科書体 NK-R" w:hAnsi="BIZ UDPゴシック" w:hint="eastAsia"/>
          <w:szCs w:val="21"/>
        </w:rPr>
        <w:t>大分県には全国有数の温泉がいくつもあり、古くから貴重な観光資源として地域経済を支えてきた。現在では国際的な観光地にもなっている。</w:t>
      </w:r>
    </w:p>
    <w:p w:rsidR="0078295A" w:rsidRPr="0078295A" w:rsidRDefault="00D94317" w:rsidP="0078295A">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78295A" w:rsidRPr="0078295A">
        <w:rPr>
          <w:rFonts w:ascii="UD デジタル 教科書体 NK-R" w:eastAsia="UD デジタル 教科書体 NK-R" w:hAnsi="BIZ UDPゴシック" w:hint="eastAsia"/>
          <w:szCs w:val="21"/>
        </w:rPr>
        <w:t>事例：大分県の温泉を生かした観光産業</w:t>
      </w:r>
    </w:p>
    <w:p w:rsidR="0078295A" w:rsidRDefault="0078295A" w:rsidP="0078295A">
      <w:pPr>
        <w:ind w:leftChars="300" w:left="1191" w:hangingChars="267" w:hanging="561"/>
        <w:rPr>
          <w:rFonts w:ascii="UD デジタル 教科書体 NK-R" w:eastAsia="UD デジタル 教科書体 NK-R" w:hAnsi="BIZ UDPゴシック"/>
          <w:szCs w:val="21"/>
        </w:rPr>
      </w:pPr>
      <w:r w:rsidRPr="0078295A">
        <w:rPr>
          <w:rFonts w:ascii="UD デジタル 教科書体 NK-R" w:eastAsia="UD デジタル 教科書体 NK-R" w:hAnsi="BIZ UDPゴシック" w:hint="eastAsia"/>
          <w:szCs w:val="21"/>
        </w:rPr>
        <w:t>大分県には全国有数の温泉がいくつもあり、古くから貴重な観光資源として地域経済</w:t>
      </w:r>
    </w:p>
    <w:p w:rsidR="00D75F73" w:rsidRPr="00193773" w:rsidRDefault="0078295A" w:rsidP="0078295A">
      <w:pPr>
        <w:ind w:leftChars="300" w:left="1191" w:hangingChars="267" w:hanging="561"/>
        <w:rPr>
          <w:rFonts w:ascii="UD デジタル 教科書体 NK-R" w:eastAsia="UD デジタル 教科書体 NK-R"/>
          <w:szCs w:val="21"/>
        </w:rPr>
      </w:pPr>
      <w:r w:rsidRPr="0078295A">
        <w:rPr>
          <w:rFonts w:ascii="UD デジタル 教科書体 NK-R" w:eastAsia="UD デジタル 教科書体 NK-R" w:hAnsi="BIZ UDPゴシック" w:hint="eastAsia"/>
          <w:szCs w:val="21"/>
        </w:rPr>
        <w:t>を支えてきた。現在では国際的な観光地にもなっている。</w:t>
      </w:r>
    </w:p>
    <w:p w:rsidR="00D22B86" w:rsidRDefault="00D22B86" w:rsidP="00D22B86">
      <w:pPr>
        <w:rPr>
          <w:rFonts w:ascii="UD デジタル 教科書体 NK-R" w:eastAsia="UD デジタル 教科書体 NK-R"/>
          <w:szCs w:val="21"/>
        </w:rPr>
      </w:pPr>
    </w:p>
    <w:p w:rsidR="0078295A" w:rsidRPr="00D94317" w:rsidRDefault="0078295A" w:rsidP="00D22B86">
      <w:pPr>
        <w:rPr>
          <w:rFonts w:ascii="UD デジタル 教科書体 NK-R" w:eastAsia="UD デジタル 教科書体 NK-R" w:hint="eastAsia"/>
          <w:szCs w:val="21"/>
        </w:rPr>
      </w:pPr>
      <w:bookmarkStart w:id="0" w:name="_GoBack"/>
      <w:bookmarkEnd w:id="0"/>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8295A"/>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02F424B"/>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B91C6-C2C9-4CB9-A1E5-E5D23F035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2022-01-21T00:58:00Z</dcterms:modified>
</cp:coreProperties>
</file>