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963602" w:rsidP="00185440">
      <w:pPr>
        <w:rPr>
          <w:rFonts w:ascii="UD デジタル 教科書体 NK-R" w:eastAsia="UD デジタル 教科書体 NK-R"/>
          <w:szCs w:val="21"/>
          <w:u w:val="single"/>
        </w:rPr>
      </w:pPr>
      <w:r w:rsidRPr="00963602">
        <w:rPr>
          <w:rFonts w:ascii="UD デジタル 教科書体 NK-R" w:eastAsia="UD デジタル 教科書体 NK-R" w:hint="eastAsia"/>
          <w:szCs w:val="21"/>
          <w:u w:val="single"/>
        </w:rPr>
        <w:t>日本の産業</w:t>
      </w:r>
    </w:p>
    <w:p w:rsidR="00963602" w:rsidRPr="00193773" w:rsidRDefault="00963602"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963602" w:rsidRPr="00963602">
        <w:rPr>
          <w:rFonts w:ascii="UD デジタル 教科書体 NK-R" w:eastAsia="UD デジタル 教科書体 NK-R" w:hint="eastAsia"/>
          <w:szCs w:val="21"/>
        </w:rPr>
        <w:t>日本の農業の問題点について、あなたが考える解決策を１つ説明しましょう。</w:t>
      </w:r>
    </w:p>
    <w:p w:rsidR="00D94317" w:rsidRPr="00193773" w:rsidRDefault="00D94317" w:rsidP="00193773">
      <w:pPr>
        <w:rPr>
          <w:rFonts w:ascii="UD デジタル 教科書体 NK-R" w:eastAsia="UD デジタル 教科書体 NK-R"/>
          <w:szCs w:val="21"/>
        </w:rPr>
      </w:pPr>
    </w:p>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tbl>
      <w:tblPr>
        <w:tblStyle w:val="a3"/>
        <w:tblpPr w:leftFromText="142" w:rightFromText="142" w:vertAnchor="page" w:horzAnchor="margin" w:tblpY="4306"/>
        <w:tblW w:w="7795" w:type="dxa"/>
        <w:tblLook w:val="04A0" w:firstRow="1" w:lastRow="0" w:firstColumn="1" w:lastColumn="0" w:noHBand="0" w:noVBand="1"/>
      </w:tblPr>
      <w:tblGrid>
        <w:gridCol w:w="648"/>
        <w:gridCol w:w="7147"/>
      </w:tblGrid>
      <w:tr w:rsidR="00963602" w:rsidRPr="00193773" w:rsidTr="00963602">
        <w:trPr>
          <w:trHeight w:val="699"/>
        </w:trPr>
        <w:tc>
          <w:tcPr>
            <w:tcW w:w="648" w:type="dxa"/>
          </w:tcPr>
          <w:p w:rsidR="00963602" w:rsidRPr="00193773" w:rsidRDefault="00963602" w:rsidP="0096360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963602" w:rsidRPr="00193773" w:rsidRDefault="00963602" w:rsidP="00963602">
            <w:pPr>
              <w:rPr>
                <w:rFonts w:ascii="UD デジタル 教科書体 NK-R" w:eastAsia="UD デジタル 教科書体 NK-R" w:hAnsi="BIZ UDゴシック"/>
                <w:color w:val="767171" w:themeColor="background2" w:themeShade="80"/>
                <w:szCs w:val="21"/>
              </w:rPr>
            </w:pPr>
            <w:r w:rsidRPr="00963602">
              <w:rPr>
                <w:rFonts w:ascii="UD デジタル 教科書体 NK-R" w:eastAsia="UD デジタル 教科書体 NK-R" w:hAnsi="BIZ UDPゴシック" w:hint="eastAsia"/>
                <w:szCs w:val="21"/>
              </w:rPr>
              <w:t>日本の農業が抱える問題点の分析を基にして、その解決策を主体的かつ具体的に記述している。</w:t>
            </w:r>
          </w:p>
        </w:tc>
      </w:tr>
      <w:tr w:rsidR="00963602" w:rsidRPr="00193773" w:rsidTr="00963602">
        <w:trPr>
          <w:trHeight w:val="504"/>
        </w:trPr>
        <w:tc>
          <w:tcPr>
            <w:tcW w:w="648" w:type="dxa"/>
          </w:tcPr>
          <w:p w:rsidR="00963602" w:rsidRPr="00193773" w:rsidRDefault="00963602" w:rsidP="0096360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963602" w:rsidRPr="00193773" w:rsidRDefault="00963602" w:rsidP="00963602">
            <w:pPr>
              <w:rPr>
                <w:rFonts w:ascii="UD デジタル 教科書体 NK-R" w:eastAsia="UD デジタル 教科書体 NK-R" w:hAnsi="BIZ UDゴシック"/>
                <w:color w:val="767171" w:themeColor="background2" w:themeShade="80"/>
                <w:szCs w:val="21"/>
              </w:rPr>
            </w:pPr>
            <w:r w:rsidRPr="00963602">
              <w:rPr>
                <w:rFonts w:ascii="UD デジタル 教科書体 NK-R" w:eastAsia="UD デジタル 教科書体 NK-R" w:hAnsi="BIZ UDPゴシック" w:hint="eastAsia"/>
                <w:szCs w:val="21"/>
              </w:rPr>
              <w:t>日本の農業が抱える問題点を踏まえながら、その解決策を具体的に記述している。</w:t>
            </w:r>
          </w:p>
        </w:tc>
      </w:tr>
      <w:tr w:rsidR="00963602" w:rsidRPr="00193773" w:rsidTr="00963602">
        <w:trPr>
          <w:trHeight w:val="429"/>
        </w:trPr>
        <w:tc>
          <w:tcPr>
            <w:tcW w:w="648" w:type="dxa"/>
          </w:tcPr>
          <w:p w:rsidR="00963602" w:rsidRPr="00193773" w:rsidRDefault="00963602" w:rsidP="00963602">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963602" w:rsidRPr="00193773" w:rsidRDefault="00963602" w:rsidP="00963602">
            <w:pPr>
              <w:rPr>
                <w:rFonts w:ascii="UD デジタル 教科書体 NK-R" w:eastAsia="UD デジタル 教科書体 NK-R" w:hAnsi="BIZ UDゴシック"/>
                <w:color w:val="767171" w:themeColor="background2" w:themeShade="80"/>
                <w:szCs w:val="21"/>
              </w:rPr>
            </w:pPr>
            <w:r w:rsidRPr="00963602">
              <w:rPr>
                <w:rFonts w:ascii="UD デジタル 教科書体 NK-R" w:eastAsia="UD デジタル 教科書体 NK-R" w:hAnsi="BIZ UDPゴシック" w:hint="eastAsia"/>
                <w:szCs w:val="21"/>
              </w:rPr>
              <w:t>日本の農業が抱える問題点を踏まえていなかったり、具体的ではなかったりする記述である。</w:t>
            </w:r>
          </w:p>
        </w:tc>
      </w:tr>
    </w:tbl>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963602" w:rsidRPr="00963602">
        <w:rPr>
          <w:rFonts w:ascii="UD デジタル 教科書体 NK-R" w:eastAsia="UD デジタル 教科書体 NK-R" w:hAnsi="BIZ UDPゴシック" w:hint="eastAsia"/>
          <w:szCs w:val="21"/>
        </w:rPr>
        <w:t>国や地方公共団体による農業従事者への支援を充実させるとともに、農村地域の自然の豊かさや農作物を育てる喜びなどをアピールしてＵターンやＩターンを促進する。</w:t>
      </w:r>
    </w:p>
    <w:p w:rsidR="00963602"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963602" w:rsidRPr="00963602">
        <w:rPr>
          <w:rFonts w:ascii="UD デジタル 教科書体 NK-R" w:eastAsia="UD デジタル 教科書体 NK-R" w:hAnsi="BIZ UDPゴシック" w:hint="eastAsia"/>
          <w:szCs w:val="21"/>
        </w:rPr>
        <w:t>国や地方公共団体による農業従事者への支援を充実させてＵターンやＩターンを促進</w:t>
      </w:r>
    </w:p>
    <w:p w:rsidR="00193773" w:rsidRPr="00193773" w:rsidRDefault="00963602" w:rsidP="00963602">
      <w:pPr>
        <w:ind w:leftChars="300" w:left="1191" w:hangingChars="267" w:hanging="561"/>
        <w:rPr>
          <w:rFonts w:ascii="UD デジタル 教科書体 NK-R" w:eastAsia="UD デジタル 教科書体 NK-R" w:hAnsi="BIZ UDPゴシック"/>
          <w:szCs w:val="21"/>
        </w:rPr>
      </w:pPr>
      <w:r w:rsidRPr="00963602">
        <w:rPr>
          <w:rFonts w:ascii="UD デジタル 教科書体 NK-R" w:eastAsia="UD デジタル 教科書体 NK-R" w:hAnsi="BIZ UDPゴシック" w:hint="eastAsia"/>
          <w:szCs w:val="21"/>
        </w:rPr>
        <w:t>する。</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963602"/>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839B696"/>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DB88-87DF-444A-A8B1-5EE014058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2022-01-21T00:55:00Z</dcterms:modified>
</cp:coreProperties>
</file>